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3A9" w:rsidRPr="003F73A9" w:rsidRDefault="003F73A9" w:rsidP="003F73A9">
      <w:pPr>
        <w:shd w:val="clear" w:color="auto" w:fill="FFFFFF"/>
        <w:spacing w:after="0" w:line="240" w:lineRule="auto"/>
        <w:outlineLvl w:val="1"/>
        <w:rPr>
          <w:rFonts w:ascii="Roboto Condensed" w:eastAsia="Times New Roman" w:hAnsi="Roboto Condensed" w:cs="Times New Roman"/>
          <w:color w:val="373737"/>
          <w:kern w:val="36"/>
          <w:sz w:val="44"/>
          <w:szCs w:val="44"/>
          <w:lang w:eastAsia="ru-RU"/>
        </w:rPr>
      </w:pPr>
      <w:r w:rsidRPr="003F73A9">
        <w:rPr>
          <w:rFonts w:ascii="Roboto Condensed" w:eastAsia="Times New Roman" w:hAnsi="Roboto Condensed" w:cs="Times New Roman"/>
          <w:color w:val="373737"/>
          <w:kern w:val="36"/>
          <w:sz w:val="44"/>
          <w:szCs w:val="44"/>
          <w:lang w:eastAsia="ru-RU"/>
        </w:rPr>
        <w:t>Указ Президента Российской Федерации от 20 мая 2011 г. N 657</w:t>
      </w:r>
    </w:p>
    <w:p w:rsidR="003F73A9" w:rsidRPr="003F73A9" w:rsidRDefault="003F73A9" w:rsidP="003F73A9">
      <w:pPr>
        <w:shd w:val="clear" w:color="auto" w:fill="FFFFFF"/>
        <w:spacing w:after="0" w:line="240" w:lineRule="auto"/>
        <w:outlineLvl w:val="2"/>
        <w:rPr>
          <w:rFonts w:ascii="Roboto Condensed" w:eastAsia="Times New Roman" w:hAnsi="Roboto Condensed" w:cs="Times New Roman"/>
          <w:color w:val="373737"/>
          <w:sz w:val="24"/>
          <w:szCs w:val="24"/>
          <w:lang w:eastAsia="ru-RU"/>
        </w:rPr>
      </w:pPr>
      <w:r w:rsidRPr="003F73A9">
        <w:rPr>
          <w:rFonts w:ascii="Roboto Condensed" w:eastAsia="Times New Roman" w:hAnsi="Roboto Condensed" w:cs="Times New Roman"/>
          <w:color w:val="373737"/>
          <w:sz w:val="24"/>
          <w:szCs w:val="24"/>
          <w:lang w:eastAsia="ru-RU"/>
        </w:rPr>
        <w:t xml:space="preserve">"О мониторинге </w:t>
      </w:r>
      <w:proofErr w:type="spellStart"/>
      <w:r w:rsidRPr="003F73A9">
        <w:rPr>
          <w:rFonts w:ascii="Roboto Condensed" w:eastAsia="Times New Roman" w:hAnsi="Roboto Condensed" w:cs="Times New Roman"/>
          <w:color w:val="373737"/>
          <w:sz w:val="24"/>
          <w:szCs w:val="24"/>
          <w:lang w:eastAsia="ru-RU"/>
        </w:rPr>
        <w:t>правоприменения</w:t>
      </w:r>
      <w:proofErr w:type="spellEnd"/>
      <w:r w:rsidRPr="003F73A9">
        <w:rPr>
          <w:rFonts w:ascii="Roboto Condensed" w:eastAsia="Times New Roman" w:hAnsi="Roboto Condensed" w:cs="Times New Roman"/>
          <w:color w:val="373737"/>
          <w:sz w:val="24"/>
          <w:szCs w:val="24"/>
          <w:lang w:eastAsia="ru-RU"/>
        </w:rPr>
        <w:t xml:space="preserve"> в Российской Федерации" </w:t>
      </w:r>
      <w:hyperlink r:id="rId4" w:anchor="comments" w:history="1">
        <w:r w:rsidRPr="003F73A9">
          <w:rPr>
            <w:rFonts w:ascii="Roboto Condensed" w:eastAsia="Times New Roman" w:hAnsi="Roboto Condensed" w:cs="Times New Roman"/>
            <w:color w:val="FFFFFF"/>
            <w:sz w:val="11"/>
            <w:u w:val="single"/>
            <w:lang w:eastAsia="ru-RU"/>
          </w:rPr>
          <w:t>0</w:t>
        </w:r>
      </w:hyperlink>
    </w:p>
    <w:p w:rsidR="003F73A9" w:rsidRPr="003F73A9" w:rsidRDefault="003F73A9" w:rsidP="003F73A9">
      <w:pPr>
        <w:shd w:val="clear" w:color="auto" w:fill="FFFFFF"/>
        <w:spacing w:after="63" w:line="240" w:lineRule="auto"/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</w:pPr>
      <w:r w:rsidRPr="003F73A9">
        <w:rPr>
          <w:rFonts w:ascii="Roboto Condensed" w:eastAsia="Times New Roman" w:hAnsi="Roboto Condensed" w:cs="Times New Roman"/>
          <w:color w:val="373737"/>
          <w:sz w:val="24"/>
          <w:szCs w:val="24"/>
          <w:lang w:eastAsia="ru-RU"/>
        </w:rPr>
        <w:pict/>
      </w:r>
      <w:r w:rsidRPr="003F73A9"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  <w:t>Работа с документами:</w:t>
      </w:r>
    </w:p>
    <w:p w:rsidR="003F73A9" w:rsidRPr="003F73A9" w:rsidRDefault="003F73A9" w:rsidP="003F73A9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</w:pPr>
      <w:hyperlink r:id="rId5" w:history="1">
        <w:r>
          <w:rPr>
            <w:rFonts w:ascii="Roboto" w:eastAsia="Times New Roman" w:hAnsi="Roboto" w:cs="Times New Roman"/>
            <w:noProof/>
            <w:color w:val="344A64"/>
            <w:sz w:val="15"/>
            <w:szCs w:val="15"/>
            <w:bdr w:val="none" w:sz="0" w:space="0" w:color="auto" w:frame="1"/>
            <w:lang w:eastAsia="ru-RU"/>
          </w:rPr>
          <w:drawing>
            <wp:inline distT="0" distB="0" distL="0" distR="0">
              <wp:extent cx="135255" cy="135255"/>
              <wp:effectExtent l="19050" t="0" r="0" b="0"/>
              <wp:docPr id="2" name="Рисунок 2" descr="Сохранить в формате MS Word">
                <a:hlinkClick xmlns:a="http://schemas.openxmlformats.org/drawingml/2006/main" r:id="rId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Сохранить в формате MS Word">
                        <a:hlinkClick r:id="rId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5255" cy="1352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3F73A9">
          <w:rPr>
            <w:rFonts w:ascii="Roboto" w:eastAsia="Times New Roman" w:hAnsi="Roboto" w:cs="Times New Roman"/>
            <w:color w:val="344A64"/>
            <w:sz w:val="15"/>
            <w:u w:val="single"/>
            <w:lang w:eastAsia="ru-RU"/>
          </w:rPr>
          <w:t xml:space="preserve">Сохранить в формате MS </w:t>
        </w:r>
        <w:proofErr w:type="spellStart"/>
        <w:r w:rsidRPr="003F73A9">
          <w:rPr>
            <w:rFonts w:ascii="Roboto" w:eastAsia="Times New Roman" w:hAnsi="Roboto" w:cs="Times New Roman"/>
            <w:color w:val="344A64"/>
            <w:sz w:val="15"/>
            <w:u w:val="single"/>
            <w:lang w:eastAsia="ru-RU"/>
          </w:rPr>
          <w:t>Word</w:t>
        </w:r>
        <w:proofErr w:type="spellEnd"/>
      </w:hyperlink>
      <w:r w:rsidRPr="003F73A9"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  <w:br/>
      </w:r>
      <w:hyperlink r:id="rId7" w:history="1">
        <w:r>
          <w:rPr>
            <w:rFonts w:ascii="Roboto" w:eastAsia="Times New Roman" w:hAnsi="Roboto" w:cs="Times New Roman"/>
            <w:noProof/>
            <w:color w:val="344A64"/>
            <w:sz w:val="15"/>
            <w:szCs w:val="15"/>
            <w:bdr w:val="none" w:sz="0" w:space="0" w:color="auto" w:frame="1"/>
            <w:lang w:eastAsia="ru-RU"/>
          </w:rPr>
          <w:drawing>
            <wp:inline distT="0" distB="0" distL="0" distR="0">
              <wp:extent cx="135255" cy="135255"/>
              <wp:effectExtent l="19050" t="0" r="0" b="0"/>
              <wp:docPr id="3" name="Рисунок 3" descr="Версия для печати">
                <a:hlinkClick xmlns:a="http://schemas.openxmlformats.org/drawingml/2006/main" r:id="rId7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Версия для печати">
                        <a:hlinkClick r:id="rId7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5255" cy="1352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 w:rsidRPr="003F73A9">
          <w:rPr>
            <w:rFonts w:ascii="Roboto" w:eastAsia="Times New Roman" w:hAnsi="Roboto" w:cs="Times New Roman"/>
            <w:color w:val="344A64"/>
            <w:sz w:val="15"/>
            <w:u w:val="single"/>
            <w:lang w:eastAsia="ru-RU"/>
          </w:rPr>
          <w:t>Версия для печати</w:t>
        </w:r>
      </w:hyperlink>
      <w:r w:rsidRPr="003F73A9"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  <w:br/>
      </w:r>
    </w:p>
    <w:p w:rsidR="003F73A9" w:rsidRPr="003F73A9" w:rsidRDefault="003F73A9" w:rsidP="003F73A9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</w:pPr>
      <w:r w:rsidRPr="003F73A9"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  <w:pict/>
      </w:r>
      <w:r>
        <w:rPr>
          <w:rFonts w:ascii="Roboto" w:eastAsia="Times New Roman" w:hAnsi="Roboto" w:cs="Times New Roman"/>
          <w:noProof/>
          <w:color w:val="344A64"/>
          <w:sz w:val="15"/>
          <w:szCs w:val="15"/>
          <w:bdr w:val="none" w:sz="0" w:space="0" w:color="auto" w:frame="1"/>
          <w:lang w:eastAsia="ru-RU"/>
        </w:rPr>
        <w:drawing>
          <wp:inline distT="0" distB="0" distL="0" distR="0">
            <wp:extent cx="135255" cy="135255"/>
            <wp:effectExtent l="19050" t="0" r="0" b="0"/>
            <wp:docPr id="5" name="Рисунок 5" descr="Twitter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witter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eastAsia="Times New Roman" w:hAnsi="Roboto" w:cs="Times New Roman"/>
          <w:noProof/>
          <w:color w:val="344A64"/>
          <w:sz w:val="15"/>
          <w:szCs w:val="15"/>
          <w:bdr w:val="none" w:sz="0" w:space="0" w:color="auto" w:frame="1"/>
          <w:lang w:eastAsia="ru-RU"/>
        </w:rPr>
        <w:drawing>
          <wp:inline distT="0" distB="0" distL="0" distR="0">
            <wp:extent cx="135255" cy="135255"/>
            <wp:effectExtent l="19050" t="0" r="0" b="0"/>
            <wp:docPr id="6" name="Рисунок 6" descr="ВКонтакте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ВКонтакте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eastAsia="Times New Roman" w:hAnsi="Roboto" w:cs="Times New Roman"/>
          <w:noProof/>
          <w:color w:val="344A64"/>
          <w:sz w:val="15"/>
          <w:szCs w:val="15"/>
          <w:bdr w:val="none" w:sz="0" w:space="0" w:color="auto" w:frame="1"/>
          <w:lang w:eastAsia="ru-RU"/>
        </w:rPr>
        <w:drawing>
          <wp:inline distT="0" distB="0" distL="0" distR="0">
            <wp:extent cx="135255" cy="135255"/>
            <wp:effectExtent l="19050" t="0" r="0" b="0"/>
            <wp:docPr id="7" name="Рисунок 7" descr="Facebook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acebook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eastAsia="Times New Roman" w:hAnsi="Roboto" w:cs="Times New Roman"/>
          <w:noProof/>
          <w:color w:val="344A64"/>
          <w:sz w:val="15"/>
          <w:szCs w:val="15"/>
          <w:bdr w:val="none" w:sz="0" w:space="0" w:color="auto" w:frame="1"/>
          <w:lang w:eastAsia="ru-RU"/>
        </w:rPr>
        <w:drawing>
          <wp:inline distT="0" distB="0" distL="0" distR="0">
            <wp:extent cx="135255" cy="135255"/>
            <wp:effectExtent l="19050" t="0" r="0" b="0"/>
            <wp:docPr id="8" name="Рисунок 8" descr="Google+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oogle+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3A9" w:rsidRPr="003F73A9" w:rsidRDefault="003F73A9" w:rsidP="003F73A9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</w:pPr>
    </w:p>
    <w:p w:rsidR="003F73A9" w:rsidRPr="003F73A9" w:rsidRDefault="003F73A9" w:rsidP="003F73A9">
      <w:pPr>
        <w:shd w:val="clear" w:color="auto" w:fill="FFFFFF"/>
        <w:spacing w:after="63" w:line="240" w:lineRule="auto"/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</w:pPr>
      <w:r w:rsidRPr="003F73A9"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  <w:t>Дополнительно:</w:t>
      </w:r>
    </w:p>
    <w:p w:rsidR="003F73A9" w:rsidRPr="003F73A9" w:rsidRDefault="003F73A9" w:rsidP="003F73A9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</w:pPr>
      <w:hyperlink r:id="rId17" w:anchor="maincomments" w:history="1">
        <w:r w:rsidRPr="003F73A9">
          <w:rPr>
            <w:rFonts w:ascii="Roboto" w:eastAsia="Times New Roman" w:hAnsi="Roboto" w:cs="Times New Roman"/>
            <w:color w:val="344A64"/>
            <w:sz w:val="15"/>
            <w:u w:val="single"/>
            <w:lang w:eastAsia="ru-RU"/>
          </w:rPr>
          <w:t>Комментарии РГ</w:t>
        </w:r>
      </w:hyperlink>
      <w:r w:rsidRPr="003F73A9">
        <w:rPr>
          <w:rFonts w:ascii="Roboto" w:eastAsia="Times New Roman" w:hAnsi="Roboto" w:cs="Times New Roman"/>
          <w:color w:val="B5B5B5"/>
          <w:sz w:val="15"/>
          <w:szCs w:val="15"/>
          <w:lang w:eastAsia="ru-RU"/>
        </w:rPr>
        <w:t xml:space="preserve"> #</w:t>
      </w:r>
    </w:p>
    <w:p w:rsidR="003F73A9" w:rsidRPr="003F73A9" w:rsidRDefault="003F73A9" w:rsidP="003F73A9">
      <w:pPr>
        <w:shd w:val="clear" w:color="auto" w:fill="FFFFFF"/>
        <w:spacing w:after="0" w:line="200" w:lineRule="atLeast"/>
        <w:rPr>
          <w:rFonts w:ascii="Roboto" w:eastAsia="Times New Roman" w:hAnsi="Roboto" w:cs="Times New Roman"/>
          <w:vanish/>
          <w:color w:val="373737"/>
          <w:sz w:val="14"/>
          <w:szCs w:val="14"/>
          <w:lang w:eastAsia="ru-RU"/>
        </w:rPr>
      </w:pPr>
      <w:r w:rsidRPr="003F73A9">
        <w:rPr>
          <w:rFonts w:ascii="Roboto" w:eastAsia="Times New Roman" w:hAnsi="Roboto" w:cs="Times New Roman"/>
          <w:vanish/>
          <w:color w:val="B5B5B5"/>
          <w:sz w:val="15"/>
          <w:lang w:eastAsia="ru-RU"/>
        </w:rPr>
        <w:t>Дата официальной публикации:</w:t>
      </w:r>
      <w:r w:rsidRPr="003F73A9">
        <w:rPr>
          <w:rFonts w:ascii="Roboto" w:eastAsia="Times New Roman" w:hAnsi="Roboto" w:cs="Times New Roman"/>
          <w:vanish/>
          <w:color w:val="373737"/>
          <w:sz w:val="14"/>
          <w:szCs w:val="14"/>
          <w:lang w:eastAsia="ru-RU"/>
        </w:rPr>
        <w:t>25 мая 2011 г.</w:t>
      </w:r>
    </w:p>
    <w:p w:rsidR="003F73A9" w:rsidRPr="003F73A9" w:rsidRDefault="003F73A9" w:rsidP="003F73A9">
      <w:pPr>
        <w:shd w:val="clear" w:color="auto" w:fill="FFFFFF"/>
        <w:spacing w:after="0" w:line="200" w:lineRule="atLeast"/>
        <w:rPr>
          <w:rFonts w:ascii="Roboto" w:eastAsia="Times New Roman" w:hAnsi="Roboto" w:cs="Times New Roman"/>
          <w:color w:val="373737"/>
          <w:sz w:val="14"/>
          <w:szCs w:val="14"/>
          <w:lang w:eastAsia="ru-RU"/>
        </w:rPr>
      </w:pPr>
      <w:r w:rsidRPr="003F73A9">
        <w:rPr>
          <w:rFonts w:ascii="Roboto" w:eastAsia="Times New Roman" w:hAnsi="Roboto" w:cs="Times New Roman"/>
          <w:color w:val="B5B5B5"/>
          <w:sz w:val="15"/>
          <w:lang w:eastAsia="ru-RU"/>
        </w:rPr>
        <w:t>Опубликовано:</w:t>
      </w:r>
      <w:r w:rsidRPr="003F73A9">
        <w:rPr>
          <w:rFonts w:ascii="Roboto" w:eastAsia="Times New Roman" w:hAnsi="Roboto" w:cs="Times New Roman"/>
          <w:color w:val="373737"/>
          <w:sz w:val="14"/>
          <w:szCs w:val="14"/>
          <w:lang w:eastAsia="ru-RU"/>
        </w:rPr>
        <w:t xml:space="preserve"> 25 мая 2011 г. в </w:t>
      </w:r>
      <w:hyperlink r:id="rId18" w:history="1">
        <w:r w:rsidRPr="003F73A9">
          <w:rPr>
            <w:rFonts w:ascii="Roboto" w:eastAsia="Times New Roman" w:hAnsi="Roboto" w:cs="Times New Roman"/>
            <w:color w:val="344A64"/>
            <w:sz w:val="14"/>
            <w:u w:val="single"/>
            <w:lang w:eastAsia="ru-RU"/>
          </w:rPr>
          <w:t>"РГ" - Федеральный выпуск №5486</w:t>
        </w:r>
      </w:hyperlink>
      <w:r w:rsidRPr="003F73A9">
        <w:rPr>
          <w:rFonts w:ascii="Roboto" w:eastAsia="Times New Roman" w:hAnsi="Roboto" w:cs="Times New Roman"/>
          <w:color w:val="373737"/>
          <w:sz w:val="14"/>
          <w:szCs w:val="14"/>
          <w:lang w:eastAsia="ru-RU"/>
        </w:rPr>
        <w:t xml:space="preserve"> </w:t>
      </w:r>
      <w:r w:rsidRPr="003F73A9">
        <w:rPr>
          <w:rFonts w:ascii="Roboto" w:eastAsia="Times New Roman" w:hAnsi="Roboto" w:cs="Times New Roman"/>
          <w:color w:val="373737"/>
          <w:sz w:val="14"/>
          <w:szCs w:val="14"/>
          <w:lang w:eastAsia="ru-RU"/>
        </w:rPr>
        <w:br/>
      </w:r>
      <w:r w:rsidRPr="003F73A9">
        <w:rPr>
          <w:rFonts w:ascii="Roboto" w:eastAsia="Times New Roman" w:hAnsi="Roboto" w:cs="Times New Roman"/>
          <w:color w:val="B5B5B5"/>
          <w:sz w:val="15"/>
          <w:lang w:eastAsia="ru-RU"/>
        </w:rPr>
        <w:t>Вступает в силу:</w:t>
      </w:r>
      <w:r w:rsidRPr="003F73A9">
        <w:rPr>
          <w:rFonts w:ascii="Roboto" w:eastAsia="Times New Roman" w:hAnsi="Roboto" w:cs="Times New Roman"/>
          <w:color w:val="373737"/>
          <w:sz w:val="14"/>
          <w:szCs w:val="14"/>
          <w:lang w:eastAsia="ru-RU"/>
        </w:rPr>
        <w:t xml:space="preserve">5 июня 2011 г. 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В целях совершенствования правовой системы Российской Федерации </w:t>
      </w:r>
      <w:r w:rsidRPr="003F73A9">
        <w:rPr>
          <w:rFonts w:ascii="Roboto" w:eastAsia="Times New Roman" w:hAnsi="Roboto" w:cs="Times New Roman"/>
          <w:b/>
          <w:bCs/>
          <w:color w:val="373737"/>
          <w:sz w:val="19"/>
          <w:szCs w:val="19"/>
          <w:lang w:eastAsia="ru-RU"/>
        </w:rPr>
        <w:t>постановляю: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1. Утвердить прилагаемое Положение о мониторинге </w:t>
      </w:r>
      <w:proofErr w:type="spellStart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правоприменения</w:t>
      </w:r>
      <w:proofErr w:type="spellEnd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в Российской Федерации.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2. Возложить на Министерство юстиции Российской Федерации: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а) осуществление мониторинга </w:t>
      </w:r>
      <w:proofErr w:type="spellStart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правоприменения</w:t>
      </w:r>
      <w:proofErr w:type="spellEnd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в Российской Федерации (далее - мониторинг) в целях выполнения решений Конституционного Суда Российской Федерации и постановлений Европейского Суда по правам человека, в связи с которыми необходимо принятие (издание), изменение или признание утратившими силу (отмена) законодательных и иных нормативных правовых актов Российской Федерации;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б) функции по координации мониторинга, осуществляемого федеральными органами исполнительной власти, и его методическому обеспечению.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3. Правительству Российской Федерации: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а) утверждать ежегодно план мониторинга;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б) представлять ежегодно Президенту Российской Федерации доклад о результатах мониторинга;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в) учитывать в плане своей законопроектной деятельности предложения о принятии (издании), изменении или признании утратившими силу (отмене) законодательных и иных нормативных правовых актов Российской Федерации, представленные в связи с подготовкой доклада Президенту Российской Федерации о результатах мониторинга.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4. Следственному комитету Российской Федерации, федеральным органам исполнительной власти и органам государственной власти субъектов Российской Федерации: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а) представлять ежегодно в Министерство юстиции Российской Федерации: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предложения к проекту плана мониторинга;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доклады о результатах мониторинга, осуществленного указанными органами;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б) принимать в пределах своих полномочий меры по устранению выявленных в ходе мониторинга недостатков в нормотворческой и (или) правоприменительной деятельности.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5. Рекомендовать: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а) Конституционному Суду Российской Федерации, Верховному Суду Российской Федерации, Высшему Арбитражному Суду Российской Федерации, Генеральной прокуратуре Российской Федерации, Уполномоченному по правам человека в Российской Федерации, Уполномоченному при Президенте Российской Федерации по правам ребенка, Счетной палате Российской Федерации, Центральной </w:t>
      </w: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lastRenderedPageBreak/>
        <w:t>избирательной комиссии Российской Федерации, Центральному банку Российской Федерации, Общественной палате Российской Федерации, государственным корпорациям, фондам и иным организациям, созданным Российской Федерацией на основании федерального закона, ежегодно направлять в Министерство юстиции Российской Федерации предложения к проектам плана мониторинга и доклада Президенту Российской Федерации о результатах мониторинга;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б) Верховному Суду Российской Федерации и Высшему Арбитражному Суду Российской Федерации учитывать результаты мониторинга при даче разъяснений по вопросам судебной практики.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6. Внести в Положение о Министерстве юстиции Российской Федерации, утвержденное Указом Президента Российской Федерации от 13 октября 2004 г. N 1313 "Вопросы Министерства юстиции Российской Федерации" (Собрание законодательства Российской Федерации, 2004, N 42, ст. 4108; 2006, N 12, ст. 1284; N 19, ст. 2070; N 39, ст. 4039; 2007, N 13, ст. 1530; N 20, ст. 2390; 2008, N 10, ст. 909; N 29, ст. 3473; N 43, ст. 4921; 2010, N 4, ст. 368; N 19, ст. 2300), изменение, дополнив пункт 7 подпунктом 4</w:t>
      </w:r>
      <w:r w:rsidRPr="003F73A9">
        <w:rPr>
          <w:rFonts w:ascii="Roboto" w:eastAsia="Times New Roman" w:hAnsi="Roboto" w:cs="Times New Roman"/>
          <w:color w:val="373737"/>
          <w:sz w:val="19"/>
          <w:szCs w:val="19"/>
          <w:vertAlign w:val="superscript"/>
          <w:lang w:eastAsia="ru-RU"/>
        </w:rPr>
        <w:t>1</w:t>
      </w: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следующего содержания: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"4</w:t>
      </w:r>
      <w:r w:rsidRPr="003F73A9">
        <w:rPr>
          <w:rFonts w:ascii="Roboto" w:eastAsia="Times New Roman" w:hAnsi="Roboto" w:cs="Times New Roman"/>
          <w:color w:val="373737"/>
          <w:sz w:val="19"/>
          <w:szCs w:val="19"/>
          <w:vertAlign w:val="superscript"/>
          <w:lang w:eastAsia="ru-RU"/>
        </w:rPr>
        <w:t>1</w:t>
      </w: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) осуществляет в установленной сфере деятельности мониторинг </w:t>
      </w:r>
      <w:proofErr w:type="spellStart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правоприменения</w:t>
      </w:r>
      <w:proofErr w:type="spellEnd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в Российской Федерации в целях выполнения решений Конституционного Суда Российской Федерации и постановлений Европейского Суда по правам человека, в связи с которыми необходимо принятие (издание), изменение или признание утратившими силу (отмена) законодательных и иных нормативных правовых актов Российской Федерации, а также функции по координации мониторинга </w:t>
      </w:r>
      <w:proofErr w:type="spellStart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правоприменения</w:t>
      </w:r>
      <w:proofErr w:type="spellEnd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, осуществляемого федеральными органами исполнительной власти и органами государственной власти субъектов Российской Федерации, и его методическому обеспечению;".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7. Установить, что функции по проведению мониторинга осуществляются федеральными органами исполнительной власти в пределах установленной предельной численности работников их центральных аппаратов и работников территориальных органов федеральных органов исполнительной власти, а также в пределах бюджетных ассигнований, предусмотренных этим федеральным органам в федеральном бюджете.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8. Правительству Российской Федерации в 3-месячный срок утвердить методику осуществления мониторинга.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b/>
          <w:bCs/>
          <w:color w:val="373737"/>
          <w:sz w:val="19"/>
          <w:szCs w:val="19"/>
          <w:lang w:eastAsia="ru-RU"/>
        </w:rPr>
        <w:t>Президент Российской Федерации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b/>
          <w:bCs/>
          <w:color w:val="373737"/>
          <w:sz w:val="19"/>
          <w:szCs w:val="19"/>
          <w:lang w:eastAsia="ru-RU"/>
        </w:rPr>
        <w:t>Д. Медведев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27"/>
          <w:szCs w:val="27"/>
          <w:lang w:eastAsia="ru-RU"/>
        </w:rPr>
        <w:t xml:space="preserve">Положение о мониторинге </w:t>
      </w:r>
      <w:proofErr w:type="spellStart"/>
      <w:r w:rsidRPr="003F73A9">
        <w:rPr>
          <w:rFonts w:ascii="Roboto" w:eastAsia="Times New Roman" w:hAnsi="Roboto" w:cs="Times New Roman"/>
          <w:color w:val="373737"/>
          <w:sz w:val="27"/>
          <w:szCs w:val="27"/>
          <w:lang w:eastAsia="ru-RU"/>
        </w:rPr>
        <w:t>правоприменения</w:t>
      </w:r>
      <w:proofErr w:type="spellEnd"/>
      <w:r w:rsidRPr="003F73A9">
        <w:rPr>
          <w:rFonts w:ascii="Roboto" w:eastAsia="Times New Roman" w:hAnsi="Roboto" w:cs="Times New Roman"/>
          <w:color w:val="373737"/>
          <w:sz w:val="27"/>
          <w:szCs w:val="27"/>
          <w:lang w:eastAsia="ru-RU"/>
        </w:rPr>
        <w:t xml:space="preserve"> в Российской Федерации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1. Настоящим Положением определяется порядок осуществления мониторинга </w:t>
      </w:r>
      <w:proofErr w:type="spellStart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правоприменения</w:t>
      </w:r>
      <w:proofErr w:type="spellEnd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в Российской Федерации (далее - мониторинг).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2. Мониторинг предусматривает комплексную и плановую деятельность, осуществляемую федеральными органами исполнительной власти и органами государственной власти субъектов Российской Федерации в пределах своих полномочий, по сбору, обобщению, анализу и оценке информации для обеспечения принятия (издания), изменения или признания утратившими силу (отмены):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а) законодательных и иных нормативных правовых актов Российской Федерации - в целях выполнения решений Конституционного Суда Российской Федерации и постановлений Европейского Суда по правам человека;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б) нормативных правовых актов Президента Российской Федерации, Правительства Российской Федерации, федеральных органов исполнительной власти, иных государственных органов, органов государственной власти субъектов Российской Федерации и муниципальных правовых актов - в случаях, предусмотренных федеральными законами;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в) нормативных правовых актов Правительства Российской Федерации, федеральных органов исполнительной власти, иных государственных органов, органов государственной власти субъектов </w:t>
      </w: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lastRenderedPageBreak/>
        <w:t>Российской Федерации и муниципальных правовых актов - в случаях, предусмотренных актами Президента Российской Федерации;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г) нормативных правовых актов Российской Федерации - в случаях, предусмотренных ежегодными посланиями Президента Российской Федерации Федеральному Собранию Российской Федерации, иными программными документами, поручениями Президента Российской Федерации и Правительства Российской Федерации, основными направлениями деятельности Правительства Российской Федерации на соответствующий период и программами социально-экономического развития государства;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д</w:t>
      </w:r>
      <w:proofErr w:type="spellEnd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) нормативных правовых актов Российской Федерации - в целях реализации </w:t>
      </w:r>
      <w:proofErr w:type="spellStart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антикоррупционной</w:t>
      </w:r>
      <w:proofErr w:type="spellEnd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политики и устранения </w:t>
      </w:r>
      <w:proofErr w:type="spellStart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коррупциогенных</w:t>
      </w:r>
      <w:proofErr w:type="spellEnd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факторов;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е) нормативных правовых актов Российской Федерации - в целях устранения противоречий между нормативными правовыми актами равной юридической силы.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3. Основной целью осуществления мониторинга является совершенствование правовой системы Российской Федерации.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4. Мониторинг проводится в соответствии с планом мониторинга и согласно методике его осуществления.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При наличии соответствующего поручения Президента Российской Федерации или Правительства Российской Федерации мониторинг осуществляется без внесения изменений в утвержденный Правительством Российской Федерации план мониторинга.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Федеральные органы исполнительной власти, органы государственной власти субъектов Российской Федерации и органы местного самоуправления могут осуществлять мониторинг по собственной инициативе.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5. Проект плана мониторинга ежегодно разрабатывается Министерством юстиции Российской Федерации с учетом: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а) ежегодных посланий Президента Российской Федерации Федеральному Собранию Российской Федерации;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б) решений (предложений) Конституционного Суда Российской Федерации, Европейского Суда по правам человека, Верховного Суда Российской Федерации, Высшего Арбитражного Суда Российской Федерации;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в) предложений Генеральной прокуратуры Российской Федерации, Уполномоченного по правам человека в Российской Федерации, Уполномоченного при Президенте Российской Федерации по правам ребенка, Счетной палаты Российской Федерации, Центральной избирательной комиссии Российской Федерации, Центрального банка Российской Федерации, Общественной палаты Российской Федерации, государственных корпораций, фондов и иных организаций, созданных Российской Федерацией на основании федерального закона;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г) предложений Следственного комитета Российской Федерации, федеральных органов исполнительной власти и органов государственной власти субъектов Российской Федерации;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д</w:t>
      </w:r>
      <w:proofErr w:type="spellEnd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) национального плана противодействия коррупции, иных программных документов, поручений Президента Российской Федерации и Правительства Российской Федерации;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е) основных направлений деятельности Правительства Российской Федерации на соответствующий период;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ж) программ социально-экономического развития государства;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з</w:t>
      </w:r>
      <w:proofErr w:type="spellEnd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) предложений институтов гражданского общества и средств массовой информации.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lastRenderedPageBreak/>
        <w:t>6. Федеральные органы исполнительной власти, иные федеральные государственные органы и органы государственной власти субъектов Российской Федерации при подготовке предложений к проекту плана мониторинга учитывают в пределах своей компетенции предложения институтов гражданского общества и средств массовой информации о принятии (издании), изменении или признании утратившими силу (отмене) законодательных и иных нормативных правовых актов Российской Федерации, поступившие в соответствующий орган.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7. Органы государственной власти субъектов Российской Федерации при подготовке предложений к проекту плана мониторинга учитывают предложения соответствующих органов местного самоуправления.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8. Указанные в подпунктах "в", "г" и "</w:t>
      </w:r>
      <w:proofErr w:type="spellStart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з</w:t>
      </w:r>
      <w:proofErr w:type="spellEnd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" пункта 5, пунктах 6 и 7 настоящего Положения предложения к проекту плана мониторинга представляются в Министерство юстиции Российской Федерации ежегодно, до 1 июня.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9. Проект плана мониторинга ежегодно, до 1 августа, вносится Министерством юстиции Российской Федерации в Правительство Российской Федерации.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10. План мониторинга ежегодно, до 1 сентября, утверждается Правительством Российской Федерации.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11. В плане мониторинга отражаются: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а) отрасль (</w:t>
      </w:r>
      <w:proofErr w:type="spellStart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подотрасль</w:t>
      </w:r>
      <w:proofErr w:type="spellEnd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) законодательства либо группа нормативных правовых актов, мониторинг которых планируется осуществить;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б) наименования федеральных органов исполнительной власти, органов государственной власти субъектов Российской Федерации и органов местного самоуправления, участвующих в мониторинге;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в) сроки осуществления мониторинга;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г) иные данные.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12. Федеральные органы исполнительной власти и органы государственной власти субъектов Российской Федерации ежегодно, до 1 июня, представляют в Министерство юстиции Российской Федерации доклады о результатах мониторинга, осуществленного ими в предыдущем году в соответствии с планом мониторинга.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Сведения, полученные в результате мониторинга, осуществленного федеральными органами исполнительной власти и органами государственной власти субъектов Российской Федерации по собственной инициативе, могут направляться до 1 июня в Министерство юстиции Российской Федерации по решению этих органов.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Другие органы и организации могут направлять в Министерство юстиции Российской Федерации до 1 июня предложения к проекту доклада Президенту Российской Федерации о результатах мониторинга.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13. Министерство юстиции Российской Федерации на основе докладов федеральных органов исполнительной власти и органов государственной власти субъектов Российской Федерации о результатах мониторинга, осуществленного ими в предыдущем году, и других материалов, поступивших в Министерство, подготавливает проект доклада Президенту Российской Федерации о результатах мониторинга и предложения к плану законопроектной деятельности Правительства Российской Федерации.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14. В проекте доклада Президенту Российской Федерации о результатах мониторинга подводятся итоги выполнения плана мониторинга за предыдущий год и вносятся предложения: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а) о необходимости принятия (издания), изменения или признания утратившими силу (отмены) законодательных и иных нормативных правовых актов Российской Федерации;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lastRenderedPageBreak/>
        <w:t>б) о мерах по совершенствованию законодательных и иных нормативных правовых актов Российской Федерации;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в) о мерах по повышению эффективности </w:t>
      </w:r>
      <w:proofErr w:type="spellStart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правоприменения</w:t>
      </w:r>
      <w:proofErr w:type="spellEnd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г) о мерах по повышению эффективности противодействия коррупции;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proofErr w:type="spellStart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д</w:t>
      </w:r>
      <w:proofErr w:type="spellEnd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) о государственных органах, ответственных за разработку соответствующих законодательных и иных нормативных правовых актов Российской Федерации и за реализацию мер по повышению эффективности </w:t>
      </w:r>
      <w:proofErr w:type="spellStart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правоприменения</w:t>
      </w:r>
      <w:proofErr w:type="spellEnd"/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 xml:space="preserve"> и противодействия коррупции.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15. Проект доклада Президенту Российской Федерации о результатах мониторинга и предложения к плану законопроектной деятельности Правительства Российской Федерации ежегодно, до 1 августа, направляются в установленном порядке Министерством юстиции Российской Федерации в Правительство Российской Федерации для рассмотрения.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Правительство Российской Федерации ежегодно, до 1 сентября, представляет Президенту Российской Федерации доклад о результатах мониторинга.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16. Президентом Российской Федерации по итогам рассмотрения доклада о результатах мониторинга могут быть даны поручения государственным органам и организациям, а также должностным лицам о разработке законодательных и иных нормативных правовых актов Российской Федерации и принятии иных мер по реализации предложений, содержащихся в указанном докладе.</w:t>
      </w:r>
    </w:p>
    <w:p w:rsidR="003F73A9" w:rsidRPr="003F73A9" w:rsidRDefault="003F73A9" w:rsidP="003F73A9">
      <w:pPr>
        <w:shd w:val="clear" w:color="auto" w:fill="FFFFFF"/>
        <w:spacing w:before="240" w:after="240" w:line="250" w:lineRule="atLeast"/>
        <w:ind w:left="701"/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</w:pPr>
      <w:r w:rsidRPr="003F73A9">
        <w:rPr>
          <w:rFonts w:ascii="Roboto" w:eastAsia="Times New Roman" w:hAnsi="Roboto" w:cs="Times New Roman"/>
          <w:color w:val="373737"/>
          <w:sz w:val="19"/>
          <w:szCs w:val="19"/>
          <w:lang w:eastAsia="ru-RU"/>
        </w:rPr>
        <w:t>17. Доклад о результатах мониторинга после рассмотрения его Президентом Российской Федерации подлежит опубликованию Министерством юстиции Российской Федерации в средствах массовой информации, а также размещению на официальных сайтах Президента Российской Федерации, Правительства Российской Федерации и Министерства юстиции Российской Федерации в сети Интернет.</w:t>
      </w:r>
    </w:p>
    <w:p w:rsidR="00D4059E" w:rsidRDefault="00D4059E"/>
    <w:sectPr w:rsidR="00D4059E" w:rsidSect="00D40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 Condense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3F73A9"/>
    <w:rsid w:val="002F77F0"/>
    <w:rsid w:val="003F73A9"/>
    <w:rsid w:val="006C6C59"/>
    <w:rsid w:val="00D40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5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73A9"/>
    <w:rPr>
      <w:color w:val="344A64"/>
      <w:u w:val="single"/>
      <w:bdr w:val="none" w:sz="0" w:space="0" w:color="auto" w:frame="1"/>
    </w:rPr>
  </w:style>
  <w:style w:type="character" w:customStyle="1" w:styleId="comments2">
    <w:name w:val="comments2"/>
    <w:basedOn w:val="a0"/>
    <w:rsid w:val="003F73A9"/>
    <w:rPr>
      <w:b w:val="0"/>
      <w:bCs w:val="0"/>
      <w:color w:val="FFFFFF"/>
      <w:sz w:val="11"/>
      <w:szCs w:val="11"/>
    </w:rPr>
  </w:style>
  <w:style w:type="character" w:customStyle="1" w:styleId="tik-text1">
    <w:name w:val="tik-text1"/>
    <w:basedOn w:val="a0"/>
    <w:rsid w:val="003F73A9"/>
    <w:rPr>
      <w:color w:val="B5B5B5"/>
      <w:sz w:val="15"/>
      <w:szCs w:val="15"/>
    </w:rPr>
  </w:style>
  <w:style w:type="paragraph" w:styleId="a4">
    <w:name w:val="Balloon Text"/>
    <w:basedOn w:val="a"/>
    <w:link w:val="a5"/>
    <w:uiPriority w:val="99"/>
    <w:semiHidden/>
    <w:unhideWhenUsed/>
    <w:rsid w:val="003F7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73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0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8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339">
              <w:marLeft w:val="0"/>
              <w:marRight w:val="0"/>
              <w:marTop w:val="0"/>
              <w:marBottom w:val="125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73808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1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95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758540">
                      <w:marLeft w:val="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775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393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361523">
                                  <w:marLeft w:val="0"/>
                                  <w:marRight w:val="0"/>
                                  <w:marTop w:val="0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50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214328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0671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901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762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facebook.com/sharer.php?u=http://www.rg.ru/2011/05/25/monitoring-dok.html" TargetMode="External"/><Relationship Id="rId18" Type="http://schemas.openxmlformats.org/officeDocument/2006/relationships/hyperlink" Target="http://www.rg.ru/gazeta/rg/2011/05/25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rg.ru/printable/2011/05/25/monitoring-dok.html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://www.rg.ru/2011/05/25/monitoring-dok.html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vkontakte.ru/share.php?url=http://www.rg.ru/2011/05/25/monitoring-dok.html" TargetMode="External"/><Relationship Id="rId5" Type="http://schemas.openxmlformats.org/officeDocument/2006/relationships/hyperlink" Target="http://outer.rg.ru/plain/download_doc/?url=2011/05/25/monitoring-dok.html" TargetMode="External"/><Relationship Id="rId15" Type="http://schemas.openxmlformats.org/officeDocument/2006/relationships/hyperlink" Target="https://m.google.com/app/plus/x/?v=compose&amp;content=http://www.rg.ru/2011/05/25/monitoring-dok.html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hyperlink" Target="http://www.rg.ru/2011/05/25/monitoring-dok.html" TargetMode="External"/><Relationship Id="rId9" Type="http://schemas.openxmlformats.org/officeDocument/2006/relationships/hyperlink" Target="http://twitter.com/home?status=http://www.rg.ru/2011/05/25/monitoring-dok.html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2095</Words>
  <Characters>11946</Characters>
  <Application>Microsoft Office Word</Application>
  <DocSecurity>0</DocSecurity>
  <Lines>99</Lines>
  <Paragraphs>28</Paragraphs>
  <ScaleCrop>false</ScaleCrop>
  <Company/>
  <LinksUpToDate>false</LinksUpToDate>
  <CharactersWithSpaces>14013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Nachkadry</dc:creator>
  <cp:lastModifiedBy>Nachkadry</cp:lastModifiedBy>
  <cp:revision>1</cp:revision>
  <dcterms:created xsi:type="dcterms:W3CDTF">2016-01-27T04:45:00Z</dcterms:created>
  <dcterms:modified xsi:type="dcterms:W3CDTF">2016-01-27T04:46:00Z</dcterms:modified>
</cp:coreProperties>
</file>