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6B" w:rsidRPr="005A156B" w:rsidRDefault="005A156B" w:rsidP="005A156B">
      <w:pPr>
        <w:shd w:val="clear" w:color="auto" w:fill="FFFFFF"/>
        <w:spacing w:after="0" w:line="240" w:lineRule="auto"/>
        <w:outlineLvl w:val="1"/>
        <w:rPr>
          <w:rFonts w:ascii="Roboto Condensed" w:eastAsia="Times New Roman" w:hAnsi="Roboto Condensed" w:cs="Times New Roman"/>
          <w:color w:val="373737"/>
          <w:kern w:val="36"/>
          <w:sz w:val="44"/>
          <w:szCs w:val="44"/>
          <w:lang w:eastAsia="ru-RU"/>
        </w:rPr>
      </w:pPr>
      <w:r w:rsidRPr="005A156B">
        <w:rPr>
          <w:rFonts w:ascii="Roboto Condensed" w:eastAsia="Times New Roman" w:hAnsi="Roboto Condensed" w:cs="Times New Roman"/>
          <w:color w:val="373737"/>
          <w:kern w:val="36"/>
          <w:sz w:val="44"/>
          <w:szCs w:val="44"/>
          <w:lang w:eastAsia="ru-RU"/>
        </w:rPr>
        <w:t>Федеральный закон Российской Федерации от 4 мая 2011 г. N 97-ФЗ</w:t>
      </w:r>
    </w:p>
    <w:p w:rsidR="005A156B" w:rsidRPr="005A156B" w:rsidRDefault="005A156B" w:rsidP="005A156B">
      <w:pPr>
        <w:shd w:val="clear" w:color="auto" w:fill="FFFFFF"/>
        <w:spacing w:after="0" w:line="240" w:lineRule="auto"/>
        <w:outlineLvl w:val="2"/>
        <w:rPr>
          <w:rFonts w:ascii="Roboto Condensed" w:eastAsia="Times New Roman" w:hAnsi="Roboto Condensed" w:cs="Times New Roman"/>
          <w:color w:val="373737"/>
          <w:sz w:val="24"/>
          <w:szCs w:val="24"/>
          <w:lang w:eastAsia="ru-RU"/>
        </w:rPr>
      </w:pPr>
      <w:r w:rsidRPr="005A156B">
        <w:rPr>
          <w:rFonts w:ascii="Roboto Condensed" w:eastAsia="Times New Roman" w:hAnsi="Roboto Condensed" w:cs="Times New Roman"/>
          <w:color w:val="373737"/>
          <w:sz w:val="24"/>
          <w:szCs w:val="24"/>
          <w:lang w:eastAsia="ru-RU"/>
        </w:rPr>
        <w:t xml:space="preserve">"О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hyperlink r:id="rId4" w:anchor="comments" w:history="1">
        <w:r w:rsidRPr="005A156B">
          <w:rPr>
            <w:rFonts w:ascii="Roboto Condensed" w:eastAsia="Times New Roman" w:hAnsi="Roboto Condensed" w:cs="Times New Roman"/>
            <w:color w:val="FFFFFF"/>
            <w:sz w:val="11"/>
            <w:u w:val="single"/>
            <w:lang w:eastAsia="ru-RU"/>
          </w:rPr>
          <w:t>0</w:t>
        </w:r>
      </w:hyperlink>
    </w:p>
    <w:p w:rsidR="005A156B" w:rsidRPr="005A156B" w:rsidRDefault="005A156B" w:rsidP="005A156B">
      <w:pPr>
        <w:shd w:val="clear" w:color="auto" w:fill="FFFFFF"/>
        <w:spacing w:after="63" w:line="240" w:lineRule="auto"/>
        <w:rPr>
          <w:rFonts w:ascii="Roboto" w:eastAsia="Times New Roman" w:hAnsi="Roboto" w:cs="Times New Roman"/>
          <w:color w:val="B5B5B5"/>
          <w:sz w:val="15"/>
          <w:szCs w:val="15"/>
          <w:lang w:eastAsia="ru-RU"/>
        </w:rPr>
      </w:pPr>
      <w:r w:rsidRPr="005A156B">
        <w:rPr>
          <w:rFonts w:ascii="Roboto Condensed" w:eastAsia="Times New Roman" w:hAnsi="Roboto Condensed" w:cs="Times New Roman"/>
          <w:color w:val="373737"/>
          <w:sz w:val="24"/>
          <w:szCs w:val="24"/>
          <w:lang w:eastAsia="ru-RU"/>
        </w:rPr>
        <w:pict/>
      </w:r>
      <w:r w:rsidRPr="005A156B">
        <w:rPr>
          <w:rFonts w:ascii="Roboto" w:eastAsia="Times New Roman" w:hAnsi="Roboto" w:cs="Times New Roman"/>
          <w:color w:val="B5B5B5"/>
          <w:sz w:val="15"/>
          <w:szCs w:val="15"/>
          <w:lang w:eastAsia="ru-RU"/>
        </w:rPr>
        <w:t>Работа с документами:</w:t>
      </w:r>
    </w:p>
    <w:p w:rsidR="005A156B" w:rsidRPr="005A156B" w:rsidRDefault="005A156B" w:rsidP="005A156B">
      <w:pPr>
        <w:shd w:val="clear" w:color="auto" w:fill="FFFFFF"/>
        <w:spacing w:after="0" w:line="240" w:lineRule="auto"/>
        <w:rPr>
          <w:rFonts w:ascii="Roboto" w:eastAsia="Times New Roman" w:hAnsi="Roboto" w:cs="Times New Roman"/>
          <w:color w:val="B5B5B5"/>
          <w:sz w:val="15"/>
          <w:szCs w:val="15"/>
          <w:lang w:eastAsia="ru-RU"/>
        </w:rPr>
      </w:pPr>
      <w:hyperlink r:id="rId5" w:history="1">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2" name="Рисунок 2"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5A156B">
          <w:rPr>
            <w:rFonts w:ascii="Roboto" w:eastAsia="Times New Roman" w:hAnsi="Roboto" w:cs="Times New Roman"/>
            <w:color w:val="344A64"/>
            <w:sz w:val="15"/>
            <w:u w:val="single"/>
            <w:lang w:eastAsia="ru-RU"/>
          </w:rPr>
          <w:t xml:space="preserve">Сохранить в формате MS </w:t>
        </w:r>
        <w:proofErr w:type="spellStart"/>
        <w:r w:rsidRPr="005A156B">
          <w:rPr>
            <w:rFonts w:ascii="Roboto" w:eastAsia="Times New Roman" w:hAnsi="Roboto" w:cs="Times New Roman"/>
            <w:color w:val="344A64"/>
            <w:sz w:val="15"/>
            <w:u w:val="single"/>
            <w:lang w:eastAsia="ru-RU"/>
          </w:rPr>
          <w:t>Word</w:t>
        </w:r>
        <w:proofErr w:type="spellEnd"/>
      </w:hyperlink>
      <w:r w:rsidRPr="005A156B">
        <w:rPr>
          <w:rFonts w:ascii="Roboto" w:eastAsia="Times New Roman" w:hAnsi="Roboto" w:cs="Times New Roman"/>
          <w:color w:val="B5B5B5"/>
          <w:sz w:val="15"/>
          <w:szCs w:val="15"/>
          <w:lang w:eastAsia="ru-RU"/>
        </w:rPr>
        <w:br/>
      </w:r>
      <w:hyperlink r:id="rId7" w:history="1">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3" name="Рисунок 3"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5A156B">
          <w:rPr>
            <w:rFonts w:ascii="Roboto" w:eastAsia="Times New Roman" w:hAnsi="Roboto" w:cs="Times New Roman"/>
            <w:color w:val="344A64"/>
            <w:sz w:val="15"/>
            <w:u w:val="single"/>
            <w:lang w:eastAsia="ru-RU"/>
          </w:rPr>
          <w:t>Версия для печати</w:t>
        </w:r>
      </w:hyperlink>
      <w:r w:rsidRPr="005A156B">
        <w:rPr>
          <w:rFonts w:ascii="Roboto" w:eastAsia="Times New Roman" w:hAnsi="Roboto" w:cs="Times New Roman"/>
          <w:color w:val="B5B5B5"/>
          <w:sz w:val="15"/>
          <w:szCs w:val="15"/>
          <w:lang w:eastAsia="ru-RU"/>
        </w:rPr>
        <w:br/>
      </w:r>
    </w:p>
    <w:p w:rsidR="005A156B" w:rsidRPr="005A156B" w:rsidRDefault="005A156B" w:rsidP="005A156B">
      <w:pPr>
        <w:shd w:val="clear" w:color="auto" w:fill="FFFFFF"/>
        <w:spacing w:after="0" w:line="240" w:lineRule="auto"/>
        <w:rPr>
          <w:rFonts w:ascii="Roboto" w:eastAsia="Times New Roman" w:hAnsi="Roboto" w:cs="Times New Roman"/>
          <w:color w:val="B5B5B5"/>
          <w:sz w:val="15"/>
          <w:szCs w:val="15"/>
          <w:lang w:eastAsia="ru-RU"/>
        </w:rPr>
      </w:pPr>
      <w:r w:rsidRPr="005A156B">
        <w:rPr>
          <w:rFonts w:ascii="Roboto" w:eastAsia="Times New Roman" w:hAnsi="Roboto" w:cs="Times New Roman"/>
          <w:color w:val="B5B5B5"/>
          <w:sz w:val="15"/>
          <w:szCs w:val="15"/>
          <w:lang w:eastAsia="ru-RU"/>
        </w:rPr>
        <w:pict/>
      </w:r>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5" name="Рисунок 5"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9" tgtFrame="&quot;_BLANK&quot;"/>
                    </pic:cNvPr>
                    <pic:cNvPicPr>
                      <a:picLocks noChangeAspect="1" noChangeArrowheads="1"/>
                    </pic:cNvPicPr>
                  </pic:nvPicPr>
                  <pic:blipFill>
                    <a:blip r:embed="rId10"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6" name="Рисунок 6"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1" tgtFrame="&quot;_BLANK&quot;"/>
                    </pic:cNvPr>
                    <pic:cNvPicPr>
                      <a:picLocks noChangeAspect="1" noChangeArrowheads="1"/>
                    </pic:cNvPicPr>
                  </pic:nvPicPr>
                  <pic:blipFill>
                    <a:blip r:embed="rId1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7" name="Рисунок 7"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3" tgtFrame="&quot;_BLANK&quot;"/>
                    </pic:cNvPr>
                    <pic:cNvPicPr>
                      <a:picLocks noChangeAspect="1" noChangeArrowheads="1"/>
                    </pic:cNvPicPr>
                  </pic:nvPicPr>
                  <pic:blipFill>
                    <a:blip r:embed="rId14"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Pr>
          <w:rFonts w:ascii="Roboto" w:eastAsia="Times New Roman" w:hAnsi="Roboto" w:cs="Times New Roman"/>
          <w:noProof/>
          <w:color w:val="344A64"/>
          <w:sz w:val="15"/>
          <w:szCs w:val="15"/>
          <w:bdr w:val="none" w:sz="0" w:space="0" w:color="auto" w:frame="1"/>
          <w:lang w:eastAsia="ru-RU"/>
        </w:rPr>
        <w:drawing>
          <wp:inline distT="0" distB="0" distL="0" distR="0">
            <wp:extent cx="135255" cy="135255"/>
            <wp:effectExtent l="19050" t="0" r="0" b="0"/>
            <wp:docPr id="8" name="Рисунок 8"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5" tgtFrame="&quot;_BLANK&quot;"/>
                    </pic:cNvPr>
                    <pic:cNvPicPr>
                      <a:picLocks noChangeAspect="1" noChangeArrowheads="1"/>
                    </pic:cNvPicPr>
                  </pic:nvPicPr>
                  <pic:blipFill>
                    <a:blip r:embed="rId16"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5A156B" w:rsidRPr="005A156B" w:rsidRDefault="005A156B" w:rsidP="005A156B">
      <w:pPr>
        <w:shd w:val="clear" w:color="auto" w:fill="FFFFFF"/>
        <w:spacing w:after="0" w:line="240" w:lineRule="auto"/>
        <w:rPr>
          <w:rFonts w:ascii="Roboto" w:eastAsia="Times New Roman" w:hAnsi="Roboto" w:cs="Times New Roman"/>
          <w:color w:val="B5B5B5"/>
          <w:sz w:val="15"/>
          <w:szCs w:val="15"/>
          <w:lang w:eastAsia="ru-RU"/>
        </w:rPr>
      </w:pPr>
    </w:p>
    <w:p w:rsidR="005A156B" w:rsidRPr="005A156B" w:rsidRDefault="005A156B" w:rsidP="005A156B">
      <w:pPr>
        <w:shd w:val="clear" w:color="auto" w:fill="FFFFFF"/>
        <w:spacing w:after="63" w:line="240" w:lineRule="auto"/>
        <w:rPr>
          <w:rFonts w:ascii="Roboto" w:eastAsia="Times New Roman" w:hAnsi="Roboto" w:cs="Times New Roman"/>
          <w:color w:val="B5B5B5"/>
          <w:sz w:val="15"/>
          <w:szCs w:val="15"/>
          <w:lang w:eastAsia="ru-RU"/>
        </w:rPr>
      </w:pPr>
      <w:r w:rsidRPr="005A156B">
        <w:rPr>
          <w:rFonts w:ascii="Roboto" w:eastAsia="Times New Roman" w:hAnsi="Roboto" w:cs="Times New Roman"/>
          <w:color w:val="B5B5B5"/>
          <w:sz w:val="15"/>
          <w:szCs w:val="15"/>
          <w:lang w:eastAsia="ru-RU"/>
        </w:rPr>
        <w:t>Дополнительно:</w:t>
      </w:r>
    </w:p>
    <w:p w:rsidR="005A156B" w:rsidRPr="005A156B" w:rsidRDefault="005A156B" w:rsidP="005A156B">
      <w:pPr>
        <w:shd w:val="clear" w:color="auto" w:fill="FFFFFF"/>
        <w:spacing w:after="0" w:line="240" w:lineRule="auto"/>
        <w:rPr>
          <w:rFonts w:ascii="Roboto" w:eastAsia="Times New Roman" w:hAnsi="Roboto" w:cs="Times New Roman"/>
          <w:color w:val="B5B5B5"/>
          <w:sz w:val="15"/>
          <w:szCs w:val="15"/>
          <w:lang w:eastAsia="ru-RU"/>
        </w:rPr>
      </w:pPr>
      <w:hyperlink r:id="rId17" w:anchor="maincomments" w:history="1">
        <w:r w:rsidRPr="005A156B">
          <w:rPr>
            <w:rFonts w:ascii="Roboto" w:eastAsia="Times New Roman" w:hAnsi="Roboto" w:cs="Times New Roman"/>
            <w:color w:val="344A64"/>
            <w:sz w:val="15"/>
            <w:u w:val="single"/>
            <w:lang w:eastAsia="ru-RU"/>
          </w:rPr>
          <w:t>Комментарии РГ</w:t>
        </w:r>
      </w:hyperlink>
      <w:r w:rsidRPr="005A156B">
        <w:rPr>
          <w:rFonts w:ascii="Roboto" w:eastAsia="Times New Roman" w:hAnsi="Roboto" w:cs="Times New Roman"/>
          <w:color w:val="B5B5B5"/>
          <w:sz w:val="15"/>
          <w:szCs w:val="15"/>
          <w:lang w:eastAsia="ru-RU"/>
        </w:rPr>
        <w:t xml:space="preserve"> #</w:t>
      </w:r>
    </w:p>
    <w:p w:rsidR="005A156B" w:rsidRPr="005A156B" w:rsidRDefault="005A156B" w:rsidP="005A156B">
      <w:pPr>
        <w:shd w:val="clear" w:color="auto" w:fill="FFFFFF"/>
        <w:spacing w:after="0" w:line="200" w:lineRule="atLeast"/>
        <w:rPr>
          <w:rFonts w:ascii="Roboto" w:eastAsia="Times New Roman" w:hAnsi="Roboto" w:cs="Times New Roman"/>
          <w:vanish/>
          <w:color w:val="373737"/>
          <w:sz w:val="14"/>
          <w:szCs w:val="14"/>
          <w:lang w:eastAsia="ru-RU"/>
        </w:rPr>
      </w:pPr>
      <w:r w:rsidRPr="005A156B">
        <w:rPr>
          <w:rFonts w:ascii="Roboto" w:eastAsia="Times New Roman" w:hAnsi="Roboto" w:cs="Times New Roman"/>
          <w:vanish/>
          <w:color w:val="B5B5B5"/>
          <w:sz w:val="15"/>
          <w:lang w:eastAsia="ru-RU"/>
        </w:rPr>
        <w:t>Дата официальной публикации:</w:t>
      </w:r>
      <w:r w:rsidRPr="005A156B">
        <w:rPr>
          <w:rFonts w:ascii="Roboto" w:eastAsia="Times New Roman" w:hAnsi="Roboto" w:cs="Times New Roman"/>
          <w:vanish/>
          <w:color w:val="373737"/>
          <w:sz w:val="14"/>
          <w:szCs w:val="14"/>
          <w:lang w:eastAsia="ru-RU"/>
        </w:rPr>
        <w:t>6 мая 2011 г.</w:t>
      </w:r>
    </w:p>
    <w:p w:rsidR="005A156B" w:rsidRPr="005A156B" w:rsidRDefault="005A156B" w:rsidP="005A156B">
      <w:pPr>
        <w:shd w:val="clear" w:color="auto" w:fill="FFFFFF"/>
        <w:spacing w:after="0" w:line="200" w:lineRule="atLeast"/>
        <w:rPr>
          <w:rFonts w:ascii="Roboto" w:eastAsia="Times New Roman" w:hAnsi="Roboto" w:cs="Times New Roman"/>
          <w:color w:val="373737"/>
          <w:sz w:val="14"/>
          <w:szCs w:val="14"/>
          <w:lang w:eastAsia="ru-RU"/>
        </w:rPr>
      </w:pPr>
      <w:r w:rsidRPr="005A156B">
        <w:rPr>
          <w:rFonts w:ascii="Roboto" w:eastAsia="Times New Roman" w:hAnsi="Roboto" w:cs="Times New Roman"/>
          <w:color w:val="B5B5B5"/>
          <w:sz w:val="15"/>
          <w:lang w:eastAsia="ru-RU"/>
        </w:rPr>
        <w:t>Опубликовано:</w:t>
      </w:r>
      <w:r w:rsidRPr="005A156B">
        <w:rPr>
          <w:rFonts w:ascii="Roboto" w:eastAsia="Times New Roman" w:hAnsi="Roboto" w:cs="Times New Roman"/>
          <w:color w:val="373737"/>
          <w:sz w:val="14"/>
          <w:szCs w:val="14"/>
          <w:lang w:eastAsia="ru-RU"/>
        </w:rPr>
        <w:t xml:space="preserve"> 6 мая 2011 г. в </w:t>
      </w:r>
      <w:hyperlink r:id="rId18" w:history="1">
        <w:r w:rsidRPr="005A156B">
          <w:rPr>
            <w:rFonts w:ascii="Roboto" w:eastAsia="Times New Roman" w:hAnsi="Roboto" w:cs="Times New Roman"/>
            <w:color w:val="344A64"/>
            <w:sz w:val="14"/>
            <w:u w:val="single"/>
            <w:lang w:eastAsia="ru-RU"/>
          </w:rPr>
          <w:t>"РГ" - Федеральный выпуск №5473</w:t>
        </w:r>
      </w:hyperlink>
      <w:r w:rsidRPr="005A156B">
        <w:rPr>
          <w:rFonts w:ascii="Roboto" w:eastAsia="Times New Roman" w:hAnsi="Roboto" w:cs="Times New Roman"/>
          <w:color w:val="373737"/>
          <w:sz w:val="14"/>
          <w:szCs w:val="14"/>
          <w:lang w:eastAsia="ru-RU"/>
        </w:rPr>
        <w:t xml:space="preserve"> </w:t>
      </w:r>
      <w:r w:rsidRPr="005A156B">
        <w:rPr>
          <w:rFonts w:ascii="Roboto" w:eastAsia="Times New Roman" w:hAnsi="Roboto" w:cs="Times New Roman"/>
          <w:color w:val="373737"/>
          <w:sz w:val="14"/>
          <w:szCs w:val="14"/>
          <w:lang w:eastAsia="ru-RU"/>
        </w:rPr>
        <w:br/>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Принят Государственной Думой 20 апреля 2011 года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Одобрен Советом Федерации 27 апреля 2011 года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Статья 1</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Внести в Уголовный кодекс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часть вторую статьи 46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в пункте "а" части первой статьи 104</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слова "статьями 146, 147," заменить словами "статьей 145</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статью 204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204. Коммерческий подкуп</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2. Деяния, предусмотренные частью первой настоящей статьи, если они: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а) совершены группой лиц по предварительному сговору или организованной группой;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б) совершены за заведомо незаконные действия (бездействие),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Деяния, предусмотренные частью третьей настоящей статьи, если они: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а) совершены группой лиц по предварительному сговору или организованной группой;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б) сопряжены с вымогательством предмета подкупа;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 совершены за незаконные действия (бездействие),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примечание 5 к статье 285 признать утратившим силу;</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статью 290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290. Получение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 xml:space="preserve">наказывается штрафом в размере от </w:t>
      </w:r>
      <w:proofErr w:type="spellStart"/>
      <w:r w:rsidRPr="005A156B">
        <w:rPr>
          <w:rFonts w:ascii="Roboto" w:eastAsia="Times New Roman" w:hAnsi="Roboto" w:cs="Times New Roman"/>
          <w:color w:val="373737"/>
          <w:sz w:val="19"/>
          <w:szCs w:val="19"/>
          <w:lang w:eastAsia="ru-RU"/>
        </w:rPr>
        <w:t>двадцатипятикратной</w:t>
      </w:r>
      <w:proofErr w:type="spellEnd"/>
      <w:r w:rsidRPr="005A156B">
        <w:rPr>
          <w:rFonts w:ascii="Roboto" w:eastAsia="Times New Roman" w:hAnsi="Roboto" w:cs="Times New Roman"/>
          <w:color w:val="373737"/>
          <w:sz w:val="19"/>
          <w:szCs w:val="19"/>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Деяния, предусмотренные частями первой - третьей настоящей статьи, если они совершены:</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а) группой лиц по предварительному сговору или организованной группой;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б) с вымогательством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 в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6. Деяния, предусмотренные частями первой - четвертой настоящей статьи, совершенные в особо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Примечания. 1. Значительным размером взятки в настоящей статье, статьях 291 и 291</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Под иностранным должностным лицом в настоящей статье, статьях 291 и 291</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6) статью 291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291. Дача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З.Дача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Деяния, предусмотренные частями первой - третьей настоящей статьи, если они совершены:</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а) группой лиц по предварительному сговору или организованной группой;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б) в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Деяния, предусмотренные частями первой - четвертой настоящей статьи, совершенные в особо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7) дополнить статьей 291</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следующего содержания: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291</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 Посредничество во взяточничестве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Посредничество во взяточничестве, совершенное: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а) группой лиц по предварительному сговору или организованной группой;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б) в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Посредничество во взяточничестве, совершенное в особо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Обещание или предложение посредничества во взяточничестве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Статья 2</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Внести в Кодекс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N1, ст. 4, 10; N2,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часть 2 статьи 1.8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в части 3 статьи 3.5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в части 1 статьи 4.5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статью 19.28 изложить в следующей редакции: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19.28. Незаконное вознаграждение от имени юридического лица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Действия, предусмотренные частью 1 настоящей статьи, совершенные в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Действия, предусмотренные частью 1 настоящей статьи, совершенные в особо крупном размере, -</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Примечания: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З.В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в абзаце первом статьи 19.29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6) дополнить главой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следующего содержания: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"Глава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 Правовая помощь по делам об административных правонарушениях</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.1. Направление запроса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Запрос о правовой помощи по делам об административных правонарушениях направляется через:</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Верховный Суд Российской Федерации - по вопросам судебной деятельности Верховного Суда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Высший Арбитражный Суд Российской Федерации - по вопросам судебной деятельности арбитражных судов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6) Генеральную прокуратуру Российской Федерации - в остальных случаях.</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.2. Содержание и форма запроса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lastRenderedPageBreak/>
        <w:t>1) наименование органа, от которого исходит запрос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наименование и местонахождение органа, в который направляется запрос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наименование дела об административном правонарушении и характер запроса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изложение подлежащих выяснению обстоятельств, а также перечень запрашиваемых документов, вещественных и других доказательств;</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.3. Юридическая сила доказательств, полученных на территории иностранного государства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.4. Вызов свидетеля, потерпевшего, их представителей, эксперта, находящихся за пределами территории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Запрос о вызове направляется в порядке, установленном частью 2 статьи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.1 настоящего Кодекса.</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w:t>
      </w:r>
      <w:r w:rsidRPr="005A156B">
        <w:rPr>
          <w:rFonts w:ascii="Roboto" w:eastAsia="Times New Roman" w:hAnsi="Roboto" w:cs="Times New Roman"/>
          <w:color w:val="373737"/>
          <w:sz w:val="19"/>
          <w:szCs w:val="19"/>
          <w:lang w:eastAsia="ru-RU"/>
        </w:rPr>
        <w:lastRenderedPageBreak/>
        <w:t>договорами Российской Федерации или письменными обязательствами о взаимодействии на началах взаимности.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.5. Исполнение в Российской Федерации запроса о правовой помощи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5. Запрос о правовой помощи возвращается полностью или в какой-либо части в случае, если: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2) исполнение запроса полностью или в какой-либо части может нанести ущерб суверенитету или безопасности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3) аналогичные запросы государственных органов Российской Федерации не исполняются в иностранном государстве на началах взаимности.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 xml:space="preserve"> .6. Направление материалов дела об административном правонарушении для осуществления административного преследования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Статья 29</w:t>
      </w:r>
      <w:r w:rsidRPr="005A156B">
        <w:rPr>
          <w:rFonts w:ascii="Roboto" w:eastAsia="Times New Roman" w:hAnsi="Roboto" w:cs="Times New Roman"/>
          <w:color w:val="373737"/>
          <w:sz w:val="19"/>
          <w:szCs w:val="19"/>
          <w:vertAlign w:val="superscript"/>
          <w:lang w:eastAsia="ru-RU"/>
        </w:rPr>
        <w:t>1</w:t>
      </w:r>
      <w:r w:rsidRPr="005A156B">
        <w:rPr>
          <w:rFonts w:ascii="Roboto" w:eastAsia="Times New Roman" w:hAnsi="Roboto" w:cs="Times New Roman"/>
          <w:color w:val="373737"/>
          <w:sz w:val="19"/>
          <w:szCs w:val="19"/>
          <w:lang w:eastAsia="ru-RU"/>
        </w:rPr>
        <w:t>.7.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lastRenderedPageBreak/>
        <w:t>Статья 3</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color w:val="373737"/>
          <w:sz w:val="19"/>
          <w:szCs w:val="19"/>
          <w:lang w:eastAsia="ru-RU"/>
        </w:rPr>
        <w:t>Пункт 5 статьи 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 признать утратившим силу.</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Президент Российской Федерации</w:t>
      </w:r>
    </w:p>
    <w:p w:rsidR="005A156B" w:rsidRPr="005A156B" w:rsidRDefault="005A156B" w:rsidP="005A156B">
      <w:pPr>
        <w:shd w:val="clear" w:color="auto" w:fill="FFFFFF"/>
        <w:spacing w:before="240" w:after="240" w:line="250" w:lineRule="atLeast"/>
        <w:ind w:left="701"/>
        <w:rPr>
          <w:rFonts w:ascii="Roboto" w:eastAsia="Times New Roman" w:hAnsi="Roboto" w:cs="Times New Roman"/>
          <w:color w:val="373737"/>
          <w:sz w:val="19"/>
          <w:szCs w:val="19"/>
          <w:lang w:eastAsia="ru-RU"/>
        </w:rPr>
      </w:pPr>
      <w:r w:rsidRPr="005A156B">
        <w:rPr>
          <w:rFonts w:ascii="Roboto" w:eastAsia="Times New Roman" w:hAnsi="Roboto" w:cs="Times New Roman"/>
          <w:b/>
          <w:bCs/>
          <w:color w:val="373737"/>
          <w:sz w:val="19"/>
          <w:szCs w:val="19"/>
          <w:lang w:eastAsia="ru-RU"/>
        </w:rPr>
        <w:t>Д. Медведев</w:t>
      </w:r>
    </w:p>
    <w:p w:rsidR="00D4059E" w:rsidRDefault="00D4059E"/>
    <w:sectPr w:rsidR="00D4059E" w:rsidSect="00D40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A156B"/>
    <w:rsid w:val="002F77F0"/>
    <w:rsid w:val="005A156B"/>
    <w:rsid w:val="006C6C59"/>
    <w:rsid w:val="00D40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56B"/>
    <w:rPr>
      <w:color w:val="344A64"/>
      <w:u w:val="single"/>
      <w:bdr w:val="none" w:sz="0" w:space="0" w:color="auto" w:frame="1"/>
    </w:rPr>
  </w:style>
  <w:style w:type="character" w:customStyle="1" w:styleId="comments2">
    <w:name w:val="comments2"/>
    <w:basedOn w:val="a0"/>
    <w:rsid w:val="005A156B"/>
    <w:rPr>
      <w:b w:val="0"/>
      <w:bCs w:val="0"/>
      <w:color w:val="FFFFFF"/>
      <w:sz w:val="11"/>
      <w:szCs w:val="11"/>
    </w:rPr>
  </w:style>
  <w:style w:type="character" w:customStyle="1" w:styleId="tik-text1">
    <w:name w:val="tik-text1"/>
    <w:basedOn w:val="a0"/>
    <w:rsid w:val="005A156B"/>
    <w:rPr>
      <w:color w:val="B5B5B5"/>
      <w:sz w:val="15"/>
      <w:szCs w:val="15"/>
    </w:rPr>
  </w:style>
  <w:style w:type="paragraph" w:styleId="a4">
    <w:name w:val="Balloon Text"/>
    <w:basedOn w:val="a"/>
    <w:link w:val="a5"/>
    <w:uiPriority w:val="99"/>
    <w:semiHidden/>
    <w:unhideWhenUsed/>
    <w:rsid w:val="005A1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1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981913">
      <w:bodyDiv w:val="1"/>
      <w:marLeft w:val="0"/>
      <w:marRight w:val="0"/>
      <w:marTop w:val="0"/>
      <w:marBottom w:val="0"/>
      <w:divBdr>
        <w:top w:val="none" w:sz="0" w:space="0" w:color="auto"/>
        <w:left w:val="none" w:sz="0" w:space="0" w:color="auto"/>
        <w:bottom w:val="none" w:sz="0" w:space="0" w:color="auto"/>
        <w:right w:val="none" w:sz="0" w:space="0" w:color="auto"/>
      </w:divBdr>
      <w:divsChild>
        <w:div w:id="1749034898">
          <w:marLeft w:val="0"/>
          <w:marRight w:val="0"/>
          <w:marTop w:val="0"/>
          <w:marBottom w:val="0"/>
          <w:divBdr>
            <w:top w:val="none" w:sz="0" w:space="0" w:color="auto"/>
            <w:left w:val="none" w:sz="0" w:space="0" w:color="auto"/>
            <w:bottom w:val="none" w:sz="0" w:space="0" w:color="auto"/>
            <w:right w:val="none" w:sz="0" w:space="0" w:color="auto"/>
          </w:divBdr>
          <w:divsChild>
            <w:div w:id="420378161">
              <w:marLeft w:val="0"/>
              <w:marRight w:val="0"/>
              <w:marTop w:val="0"/>
              <w:marBottom w:val="125"/>
              <w:divBdr>
                <w:top w:val="single" w:sz="2" w:space="0" w:color="808080"/>
                <w:left w:val="single" w:sz="2" w:space="0" w:color="808080"/>
                <w:bottom w:val="single" w:sz="2" w:space="0" w:color="808080"/>
                <w:right w:val="single" w:sz="2" w:space="0" w:color="808080"/>
              </w:divBdr>
              <w:divsChild>
                <w:div w:id="876357752">
                  <w:marLeft w:val="0"/>
                  <w:marRight w:val="0"/>
                  <w:marTop w:val="0"/>
                  <w:marBottom w:val="0"/>
                  <w:divBdr>
                    <w:top w:val="none" w:sz="0" w:space="0" w:color="auto"/>
                    <w:left w:val="none" w:sz="0" w:space="0" w:color="auto"/>
                    <w:bottom w:val="none" w:sz="0" w:space="0" w:color="auto"/>
                    <w:right w:val="none" w:sz="0" w:space="0" w:color="auto"/>
                  </w:divBdr>
                  <w:divsChild>
                    <w:div w:id="869495842">
                      <w:marLeft w:val="0"/>
                      <w:marRight w:val="0"/>
                      <w:marTop w:val="0"/>
                      <w:marBottom w:val="0"/>
                      <w:divBdr>
                        <w:top w:val="none" w:sz="0" w:space="0" w:color="auto"/>
                        <w:left w:val="none" w:sz="0" w:space="0" w:color="auto"/>
                        <w:bottom w:val="none" w:sz="0" w:space="0" w:color="auto"/>
                        <w:right w:val="none" w:sz="0" w:space="0" w:color="auto"/>
                      </w:divBdr>
                    </w:div>
                    <w:div w:id="1700739498">
                      <w:marLeft w:val="0"/>
                      <w:marRight w:val="0"/>
                      <w:marTop w:val="0"/>
                      <w:marBottom w:val="0"/>
                      <w:divBdr>
                        <w:top w:val="none" w:sz="0" w:space="0" w:color="auto"/>
                        <w:left w:val="none" w:sz="0" w:space="0" w:color="auto"/>
                        <w:bottom w:val="none" w:sz="0" w:space="0" w:color="auto"/>
                        <w:right w:val="none" w:sz="0" w:space="0" w:color="auto"/>
                      </w:divBdr>
                    </w:div>
                    <w:div w:id="771781057">
                      <w:marLeft w:val="200"/>
                      <w:marRight w:val="0"/>
                      <w:marTop w:val="0"/>
                      <w:marBottom w:val="0"/>
                      <w:divBdr>
                        <w:top w:val="none" w:sz="0" w:space="0" w:color="auto"/>
                        <w:left w:val="none" w:sz="0" w:space="0" w:color="auto"/>
                        <w:bottom w:val="none" w:sz="0" w:space="0" w:color="auto"/>
                        <w:right w:val="none" w:sz="0" w:space="0" w:color="auto"/>
                      </w:divBdr>
                      <w:divsChild>
                        <w:div w:id="1951886401">
                          <w:marLeft w:val="0"/>
                          <w:marRight w:val="0"/>
                          <w:marTop w:val="0"/>
                          <w:marBottom w:val="0"/>
                          <w:divBdr>
                            <w:top w:val="none" w:sz="0" w:space="0" w:color="auto"/>
                            <w:left w:val="none" w:sz="0" w:space="0" w:color="auto"/>
                            <w:bottom w:val="none" w:sz="0" w:space="0" w:color="auto"/>
                            <w:right w:val="none" w:sz="0" w:space="0" w:color="auto"/>
                          </w:divBdr>
                          <w:divsChild>
                            <w:div w:id="2081521101">
                              <w:marLeft w:val="0"/>
                              <w:marRight w:val="0"/>
                              <w:marTop w:val="0"/>
                              <w:marBottom w:val="0"/>
                              <w:divBdr>
                                <w:top w:val="none" w:sz="0" w:space="0" w:color="auto"/>
                                <w:left w:val="none" w:sz="0" w:space="0" w:color="auto"/>
                                <w:bottom w:val="none" w:sz="0" w:space="0" w:color="auto"/>
                                <w:right w:val="none" w:sz="0" w:space="0" w:color="auto"/>
                              </w:divBdr>
                              <w:divsChild>
                                <w:div w:id="356538941">
                                  <w:marLeft w:val="0"/>
                                  <w:marRight w:val="0"/>
                                  <w:marTop w:val="0"/>
                                  <w:marBottom w:val="63"/>
                                  <w:divBdr>
                                    <w:top w:val="none" w:sz="0" w:space="0" w:color="auto"/>
                                    <w:left w:val="none" w:sz="0" w:space="0" w:color="auto"/>
                                    <w:bottom w:val="none" w:sz="0" w:space="0" w:color="auto"/>
                                    <w:right w:val="none" w:sz="0" w:space="0" w:color="auto"/>
                                  </w:divBdr>
                                </w:div>
                                <w:div w:id="1848933815">
                                  <w:marLeft w:val="0"/>
                                  <w:marRight w:val="0"/>
                                  <w:marTop w:val="0"/>
                                  <w:marBottom w:val="0"/>
                                  <w:divBdr>
                                    <w:top w:val="none" w:sz="0" w:space="0" w:color="auto"/>
                                    <w:left w:val="none" w:sz="0" w:space="0" w:color="auto"/>
                                    <w:bottom w:val="none" w:sz="0" w:space="0" w:color="auto"/>
                                    <w:right w:val="none" w:sz="0" w:space="0" w:color="auto"/>
                                  </w:divBdr>
                                </w:div>
                                <w:div w:id="2038967065">
                                  <w:marLeft w:val="0"/>
                                  <w:marRight w:val="0"/>
                                  <w:marTop w:val="63"/>
                                  <w:marBottom w:val="63"/>
                                  <w:divBdr>
                                    <w:top w:val="none" w:sz="0" w:space="0" w:color="auto"/>
                                    <w:left w:val="none" w:sz="0" w:space="0" w:color="auto"/>
                                    <w:bottom w:val="none" w:sz="0" w:space="0" w:color="auto"/>
                                    <w:right w:val="none" w:sz="0" w:space="0" w:color="auto"/>
                                  </w:divBdr>
                                </w:div>
                              </w:divsChild>
                            </w:div>
                            <w:div w:id="1952466828">
                              <w:marLeft w:val="0"/>
                              <w:marRight w:val="0"/>
                              <w:marTop w:val="0"/>
                              <w:marBottom w:val="0"/>
                              <w:divBdr>
                                <w:top w:val="none" w:sz="0" w:space="0" w:color="auto"/>
                                <w:left w:val="none" w:sz="0" w:space="0" w:color="auto"/>
                                <w:bottom w:val="none" w:sz="0" w:space="0" w:color="auto"/>
                                <w:right w:val="none" w:sz="0" w:space="0" w:color="auto"/>
                              </w:divBdr>
                              <w:divsChild>
                                <w:div w:id="1574971588">
                                  <w:marLeft w:val="0"/>
                                  <w:marRight w:val="0"/>
                                  <w:marTop w:val="0"/>
                                  <w:marBottom w:val="0"/>
                                  <w:divBdr>
                                    <w:top w:val="none" w:sz="0" w:space="0" w:color="auto"/>
                                    <w:left w:val="none" w:sz="0" w:space="0" w:color="auto"/>
                                    <w:bottom w:val="none" w:sz="0" w:space="0" w:color="auto"/>
                                    <w:right w:val="none" w:sz="0" w:space="0" w:color="auto"/>
                                  </w:divBdr>
                                  <w:divsChild>
                                    <w:div w:id="1520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1/05/06/korrupt-dok.html" TargetMode="External"/><Relationship Id="rId18" Type="http://schemas.openxmlformats.org/officeDocument/2006/relationships/hyperlink" Target="http://www.rg.ru/gazeta/rg/2011/05/06.html" TargetMode="External"/><Relationship Id="rId3" Type="http://schemas.openxmlformats.org/officeDocument/2006/relationships/webSettings" Target="webSettings.xml"/><Relationship Id="rId7" Type="http://schemas.openxmlformats.org/officeDocument/2006/relationships/hyperlink" Target="http://www.rg.ru/printable/2011/05/06/korrupt-dok.html" TargetMode="External"/><Relationship Id="rId12" Type="http://schemas.openxmlformats.org/officeDocument/2006/relationships/image" Target="media/image4.png"/><Relationship Id="rId17" Type="http://schemas.openxmlformats.org/officeDocument/2006/relationships/hyperlink" Target="http://www.rg.ru/2011/05/06/korrupt-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1/05/06/korrupt-dok.html" TargetMode="External"/><Relationship Id="rId5" Type="http://schemas.openxmlformats.org/officeDocument/2006/relationships/hyperlink" Target="http://outer.rg.ru/plain/download_doc/?url=2011/05/06/korrupt-dok.html" TargetMode="External"/><Relationship Id="rId15" Type="http://schemas.openxmlformats.org/officeDocument/2006/relationships/hyperlink" Target="https://m.google.com/app/plus/x/?v=compose&amp;content=http://www.rg.ru/2011/05/06/korrupt-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rg.ru/2011/05/06/korrupt-dok.html" TargetMode="External"/><Relationship Id="rId9" Type="http://schemas.openxmlformats.org/officeDocument/2006/relationships/hyperlink" Target="http://twitter.com/home?status=http://www.rg.ru/2011/05/06/korrupt-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4699</Words>
  <Characters>26788</Characters>
  <Application>Microsoft Office Word</Application>
  <DocSecurity>0</DocSecurity>
  <Lines>223</Lines>
  <Paragraphs>62</Paragraphs>
  <ScaleCrop>false</ScaleCrop>
  <Company/>
  <LinksUpToDate>false</LinksUpToDate>
  <CharactersWithSpaces>31425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Nachkadry</dc:creator>
  <cp:lastModifiedBy>Nachkadry</cp:lastModifiedBy>
  <cp:revision>1</cp:revision>
  <dcterms:created xsi:type="dcterms:W3CDTF">2016-01-27T04:43:00Z</dcterms:created>
  <dcterms:modified xsi:type="dcterms:W3CDTF">2016-01-27T04:43:00Z</dcterms:modified>
</cp:coreProperties>
</file>